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spacing w:before="200" w:line="240" w:lineRule="auto"/>
        <w:jc w:val="center"/>
        <w:rPr>
          <w:b w:val="1"/>
          <w:color w:val="0000ff"/>
          <w:sz w:val="36"/>
          <w:szCs w:val="3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center"/>
        <w:tblBorders>
          <w:top w:color="ffffff" w:space="0" w:sz="12" w:val="single"/>
          <w:left w:color="ffffff" w:space="0" w:sz="12" w:val="single"/>
          <w:bottom w:color="ffffff" w:space="0" w:sz="12" w:val="single"/>
          <w:right w:color="ffffff" w:space="0" w:sz="12" w:val="single"/>
          <w:insideH w:color="ffffff" w:space="0" w:sz="12" w:val="single"/>
          <w:insideV w:color="ffffff" w:space="0" w:sz="12" w:val="single"/>
        </w:tblBorders>
        <w:tblLayout w:type="fixed"/>
        <w:tblLook w:val="0600"/>
      </w:tblPr>
      <w:tblGrid>
        <w:gridCol w:w="9029"/>
        <w:tblGridChange w:id="0">
          <w:tblGrid>
            <w:gridCol w:w="9029"/>
          </w:tblGrid>
        </w:tblGridChange>
      </w:tblGrid>
      <w:tr>
        <w:trPr>
          <w:cantSplit w:val="0"/>
          <w:trHeight w:val="700" w:hRule="atLeast"/>
          <w:tblHeader w:val="0"/>
        </w:trPr>
        <w:tc>
          <w:tcPr>
            <w:shd w:fill="00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pageBreakBefore w:val="0"/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Para poder EDITAR ESTE DOCUMENTO, es suficiente con descargarlo en formato editable al ordenador, desde 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Archivo - Descargar como.</w:t>
            </w:r>
          </w:p>
          <w:p w:rsidR="00000000" w:rsidDel="00000000" w:rsidP="00000000" w:rsidRDefault="00000000" w:rsidRPr="00000000" w14:paraId="00000003">
            <w:pPr>
              <w:pageBreakBefore w:val="0"/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 creando una copia, desde </w:t>
            </w: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Archivo - Hacer una copia.</w:t>
            </w:r>
          </w:p>
        </w:tc>
      </w:tr>
    </w:tbl>
    <w:p w:rsidR="00000000" w:rsidDel="00000000" w:rsidP="00000000" w:rsidRDefault="00000000" w:rsidRPr="00000000" w14:paraId="00000004">
      <w:pPr>
        <w:pageBreakBefore w:val="0"/>
        <w:spacing w:before="200" w:line="240" w:lineRule="auto"/>
        <w:jc w:val="center"/>
        <w:rPr>
          <w:b w:val="1"/>
          <w:color w:val="0000ff"/>
          <w:sz w:val="36"/>
          <w:szCs w:val="36"/>
        </w:rPr>
      </w:pPr>
      <w:r w:rsidDel="00000000" w:rsidR="00000000" w:rsidRPr="00000000">
        <w:rPr>
          <w:b w:val="1"/>
          <w:color w:val="0000ff"/>
          <w:sz w:val="36"/>
          <w:szCs w:val="36"/>
          <w:rtl w:val="0"/>
        </w:rPr>
        <w:t xml:space="preserve"> </w:t>
      </w:r>
      <w:r w:rsidDel="00000000" w:rsidR="00000000" w:rsidRPr="00000000">
        <w:rPr>
          <w:b w:val="1"/>
          <w:color w:val="0000ff"/>
          <w:sz w:val="36"/>
          <w:szCs w:val="36"/>
          <w:rtl w:val="0"/>
        </w:rPr>
        <w:t xml:space="preserve">CREA con DUA</w:t>
      </w:r>
    </w:p>
    <w:p w:rsidR="00000000" w:rsidDel="00000000" w:rsidP="00000000" w:rsidRDefault="00000000" w:rsidRPr="00000000" w14:paraId="00000005">
      <w:pPr>
        <w:pageBreakBefore w:val="0"/>
        <w:spacing w:before="200" w:line="240" w:lineRule="auto"/>
        <w:jc w:val="center"/>
        <w:rPr>
          <w:b w:val="1"/>
          <w:sz w:val="28"/>
          <w:szCs w:val="28"/>
          <w:highlight w:val="yellow"/>
        </w:rPr>
      </w:pPr>
      <w:r w:rsidDel="00000000" w:rsidR="00000000" w:rsidRPr="00000000">
        <w:rPr>
          <w:b w:val="1"/>
          <w:color w:val="0000ff"/>
          <w:sz w:val="28"/>
          <w:szCs w:val="28"/>
          <w:rtl w:val="0"/>
        </w:rPr>
        <w:t xml:space="preserve">Lista de verificación (</w:t>
      </w:r>
      <w:r w:rsidDel="00000000" w:rsidR="00000000" w:rsidRPr="00000000">
        <w:rPr>
          <w:b w:val="1"/>
          <w:i w:val="1"/>
          <w:color w:val="0000ff"/>
          <w:sz w:val="28"/>
          <w:szCs w:val="28"/>
          <w:rtl w:val="0"/>
        </w:rPr>
        <w:t xml:space="preserve">checklist versión reducida</w:t>
      </w:r>
      <w:r w:rsidDel="00000000" w:rsidR="00000000" w:rsidRPr="00000000">
        <w:rPr>
          <w:b w:val="1"/>
          <w:color w:val="0000ff"/>
          <w:sz w:val="28"/>
          <w:szCs w:val="28"/>
          <w:rtl w:val="0"/>
        </w:rPr>
        <w:t xml:space="preserve">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spacing w:before="200" w:line="240" w:lineRule="auto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Presentación: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ageBreakBefore w:val="0"/>
        <w:spacing w:before="20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Esta </w:t>
      </w:r>
      <w:r w:rsidDel="00000000" w:rsidR="00000000" w:rsidRPr="00000000">
        <w:rPr>
          <w:i w:val="1"/>
          <w:sz w:val="24"/>
          <w:szCs w:val="24"/>
          <w:rtl w:val="0"/>
        </w:rPr>
        <w:t xml:space="preserve">checklist </w:t>
      </w:r>
      <w:r w:rsidDel="00000000" w:rsidR="00000000" w:rsidRPr="00000000">
        <w:rPr>
          <w:sz w:val="24"/>
          <w:szCs w:val="24"/>
          <w:rtl w:val="0"/>
        </w:rPr>
        <w:t xml:space="preserve">o lista de verificación es una síntesis (versión reducida) de la </w:t>
      </w:r>
      <w:hyperlink r:id="rId6">
        <w:r w:rsidDel="00000000" w:rsidR="00000000" w:rsidRPr="00000000">
          <w:rPr>
            <w:color w:val="1155cc"/>
            <w:sz w:val="24"/>
            <w:szCs w:val="24"/>
            <w:u w:val="single"/>
            <w:rtl w:val="0"/>
          </w:rPr>
          <w:t xml:space="preserve">Checklist_CREA_DUA_V1</w:t>
        </w:r>
      </w:hyperlink>
      <w:r w:rsidDel="00000000" w:rsidR="00000000" w:rsidRPr="00000000">
        <w:rPr>
          <w:sz w:val="24"/>
          <w:szCs w:val="24"/>
          <w:rtl w:val="0"/>
        </w:rPr>
        <w:t xml:space="preserve"> (versión ampliada).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ageBreakBefore w:val="0"/>
        <w:spacing w:before="20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Permite evaluar </w:t>
      </w:r>
      <w:r w:rsidDel="00000000" w:rsidR="00000000" w:rsidRPr="00000000">
        <w:rPr>
          <w:b w:val="1"/>
          <w:sz w:val="24"/>
          <w:szCs w:val="24"/>
          <w:rtl w:val="0"/>
        </w:rPr>
        <w:t xml:space="preserve">recursos educativos </w:t>
      </w:r>
      <w:r w:rsidDel="00000000" w:rsidR="00000000" w:rsidRPr="00000000">
        <w:rPr>
          <w:b w:val="1"/>
          <w:sz w:val="24"/>
          <w:szCs w:val="24"/>
          <w:rtl w:val="0"/>
        </w:rPr>
        <w:t xml:space="preserve">digitales </w:t>
      </w:r>
      <w:r w:rsidDel="00000000" w:rsidR="00000000" w:rsidRPr="00000000">
        <w:rPr>
          <w:sz w:val="24"/>
          <w:szCs w:val="24"/>
          <w:rtl w:val="0"/>
        </w:rPr>
        <w:t xml:space="preserve">teniendo presente los principios del </w:t>
      </w:r>
      <w:hyperlink r:id="rId7">
        <w:r w:rsidDel="00000000" w:rsidR="00000000" w:rsidRPr="00000000">
          <w:rPr>
            <w:b w:val="1"/>
            <w:color w:val="1155cc"/>
            <w:sz w:val="24"/>
            <w:szCs w:val="24"/>
            <w:u w:val="single"/>
            <w:rtl w:val="0"/>
          </w:rPr>
          <w:t xml:space="preserve">Diseño Universal para el Aprendizaje (DUA)</w:t>
        </w:r>
      </w:hyperlink>
      <w:r w:rsidDel="00000000" w:rsidR="00000000" w:rsidRPr="00000000">
        <w:rPr>
          <w:sz w:val="24"/>
          <w:szCs w:val="24"/>
          <w:rtl w:val="0"/>
        </w:rPr>
        <w:t xml:space="preserve">, con la pretensión de ser un</w:t>
      </w:r>
      <w:r w:rsidDel="00000000" w:rsidR="00000000" w:rsidRPr="00000000">
        <w:rPr>
          <w:b w:val="1"/>
          <w:sz w:val="24"/>
          <w:szCs w:val="24"/>
          <w:rtl w:val="0"/>
        </w:rPr>
        <w:t xml:space="preserve"> modelo</w:t>
      </w:r>
      <w:r w:rsidDel="00000000" w:rsidR="00000000" w:rsidRPr="00000000">
        <w:rPr>
          <w:sz w:val="24"/>
          <w:szCs w:val="24"/>
          <w:rtl w:val="0"/>
        </w:rPr>
        <w:t xml:space="preserve"> que nos oriente hacia un diseño cada vez más universal, más accesible. </w:t>
      </w:r>
    </w:p>
    <w:p w:rsidR="00000000" w:rsidDel="00000000" w:rsidP="00000000" w:rsidRDefault="00000000" w:rsidRPr="00000000" w14:paraId="00000009">
      <w:pPr>
        <w:pageBreakBefore w:val="0"/>
        <w:spacing w:before="20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Los </w:t>
      </w:r>
      <w:r w:rsidDel="00000000" w:rsidR="00000000" w:rsidRPr="00000000">
        <w:rPr>
          <w:b w:val="1"/>
          <w:sz w:val="24"/>
          <w:szCs w:val="24"/>
          <w:rtl w:val="0"/>
        </w:rPr>
        <w:t xml:space="preserve">tres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principios del DUA</w:t>
      </w:r>
      <w:r w:rsidDel="00000000" w:rsidR="00000000" w:rsidRPr="00000000">
        <w:rPr>
          <w:sz w:val="24"/>
          <w:szCs w:val="24"/>
          <w:rtl w:val="0"/>
        </w:rPr>
        <w:t xml:space="preserve"> son:</w:t>
      </w:r>
    </w:p>
    <w:p w:rsidR="00000000" w:rsidDel="00000000" w:rsidP="00000000" w:rsidRDefault="00000000" w:rsidRPr="00000000" w14:paraId="0000000A">
      <w:pPr>
        <w:pageBreakBefore w:val="0"/>
        <w:numPr>
          <w:ilvl w:val="0"/>
          <w:numId w:val="6"/>
        </w:numPr>
        <w:spacing w:after="0" w:afterAutospacing="0" w:before="200" w:line="240" w:lineRule="auto"/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Proporcionar múltiples medios de representación de la información, para activar las </w:t>
      </w:r>
      <w:r w:rsidDel="00000000" w:rsidR="00000000" w:rsidRPr="00000000">
        <w:rPr>
          <w:b w:val="1"/>
          <w:sz w:val="24"/>
          <w:szCs w:val="24"/>
          <w:rtl w:val="0"/>
        </w:rPr>
        <w:t xml:space="preserve">redes de reconocimiento</w:t>
      </w:r>
      <w:r w:rsidDel="00000000" w:rsidR="00000000" w:rsidRPr="00000000">
        <w:rPr>
          <w:sz w:val="24"/>
          <w:szCs w:val="24"/>
          <w:rtl w:val="0"/>
        </w:rPr>
        <w:t xml:space="preserve"> y dar respuesta a la pregunta “¿Qué aprendemos?”</w:t>
      </w:r>
    </w:p>
    <w:p w:rsidR="00000000" w:rsidDel="00000000" w:rsidP="00000000" w:rsidRDefault="00000000" w:rsidRPr="00000000" w14:paraId="0000000B">
      <w:pPr>
        <w:pageBreakBefore w:val="0"/>
        <w:numPr>
          <w:ilvl w:val="0"/>
          <w:numId w:val="6"/>
        </w:numPr>
        <w:spacing w:after="0" w:afterAutospacing="0" w:before="0" w:beforeAutospacing="0" w:line="240" w:lineRule="auto"/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Proporcionar múltiples formas de acción y expresión, para activar las </w:t>
      </w:r>
      <w:r w:rsidDel="00000000" w:rsidR="00000000" w:rsidRPr="00000000">
        <w:rPr>
          <w:b w:val="1"/>
          <w:sz w:val="24"/>
          <w:szCs w:val="24"/>
          <w:rtl w:val="0"/>
        </w:rPr>
        <w:t xml:space="preserve">redes estratégicas</w:t>
      </w:r>
      <w:r w:rsidDel="00000000" w:rsidR="00000000" w:rsidRPr="00000000">
        <w:rPr>
          <w:sz w:val="24"/>
          <w:szCs w:val="24"/>
          <w:rtl w:val="0"/>
        </w:rPr>
        <w:t xml:space="preserve"> y dar respuesta a la pregunta “¿Cómo aprendemos?”</w:t>
      </w:r>
    </w:p>
    <w:p w:rsidR="00000000" w:rsidDel="00000000" w:rsidP="00000000" w:rsidRDefault="00000000" w:rsidRPr="00000000" w14:paraId="0000000C">
      <w:pPr>
        <w:pageBreakBefore w:val="0"/>
        <w:numPr>
          <w:ilvl w:val="0"/>
          <w:numId w:val="6"/>
        </w:numPr>
        <w:spacing w:before="0" w:beforeAutospacing="0" w:line="240" w:lineRule="auto"/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Proporcionar múltiples formas de motivación e implicación, para activar las</w:t>
      </w:r>
      <w:r w:rsidDel="00000000" w:rsidR="00000000" w:rsidRPr="00000000">
        <w:rPr>
          <w:b w:val="1"/>
          <w:sz w:val="24"/>
          <w:szCs w:val="24"/>
          <w:rtl w:val="0"/>
        </w:rPr>
        <w:t xml:space="preserve"> redes afectivas </w:t>
      </w:r>
      <w:r w:rsidDel="00000000" w:rsidR="00000000" w:rsidRPr="00000000">
        <w:rPr>
          <w:sz w:val="24"/>
          <w:szCs w:val="24"/>
          <w:rtl w:val="0"/>
        </w:rPr>
        <w:t xml:space="preserve">y dar respuesta a la pregunta “¿Por qué aprendemos?”</w:t>
      </w:r>
    </w:p>
    <w:p w:rsidR="00000000" w:rsidDel="00000000" w:rsidP="00000000" w:rsidRDefault="00000000" w:rsidRPr="00000000" w14:paraId="0000000D">
      <w:pPr>
        <w:pageBreakBefore w:val="0"/>
        <w:spacing w:before="20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Tener presentes los</w:t>
      </w:r>
      <w:r w:rsidDel="00000000" w:rsidR="00000000" w:rsidRPr="00000000">
        <w:rPr>
          <w:b w:val="1"/>
          <w:sz w:val="24"/>
          <w:szCs w:val="24"/>
          <w:rtl w:val="0"/>
        </w:rPr>
        <w:t xml:space="preserve"> 30 puntos de control</w:t>
      </w:r>
      <w:r w:rsidDel="00000000" w:rsidR="00000000" w:rsidRPr="00000000">
        <w:rPr>
          <w:sz w:val="24"/>
          <w:szCs w:val="24"/>
          <w:rtl w:val="0"/>
        </w:rPr>
        <w:t xml:space="preserve"> de esta lista nos ayudará a saber qué hacemos bien a la hora de elaborar recursos de enseñanza en formato digital y/o cómo podemos mejorarlos. Nos servirá tanto para valorar nuestros propios recursos como los recursos ajenos.</w:t>
      </w:r>
    </w:p>
    <w:p w:rsidR="00000000" w:rsidDel="00000000" w:rsidP="00000000" w:rsidRDefault="00000000" w:rsidRPr="00000000" w14:paraId="0000000E">
      <w:pPr>
        <w:pageBreakBefore w:val="0"/>
        <w:spacing w:before="200" w:line="240" w:lineRule="auto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Instrucciones:</w:t>
      </w:r>
    </w:p>
    <w:p w:rsidR="00000000" w:rsidDel="00000000" w:rsidP="00000000" w:rsidRDefault="00000000" w:rsidRPr="00000000" w14:paraId="0000000F">
      <w:pPr>
        <w:pageBreakBefore w:val="0"/>
        <w:numPr>
          <w:ilvl w:val="0"/>
          <w:numId w:val="5"/>
        </w:numPr>
        <w:spacing w:after="0" w:afterAutospacing="0" w:before="200" w:lin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Se incluyen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30 ítems o puntos de verificación</w:t>
      </w:r>
      <w:r w:rsidDel="00000000" w:rsidR="00000000" w:rsidRPr="00000000">
        <w:rPr>
          <w:sz w:val="24"/>
          <w:szCs w:val="24"/>
          <w:rtl w:val="0"/>
        </w:rPr>
        <w:t xml:space="preserve">, clasificados convenientemente para </w:t>
      </w:r>
      <w:r w:rsidDel="00000000" w:rsidR="00000000" w:rsidRPr="00000000">
        <w:rPr>
          <w:sz w:val="24"/>
          <w:szCs w:val="24"/>
          <w:rtl w:val="0"/>
        </w:rPr>
        <w:t xml:space="preserve">cada uno de los</w:t>
      </w:r>
      <w:r w:rsidDel="00000000" w:rsidR="00000000" w:rsidRPr="00000000">
        <w:rPr>
          <w:sz w:val="24"/>
          <w:szCs w:val="24"/>
          <w:rtl w:val="0"/>
        </w:rPr>
        <w:t xml:space="preserve"> principios y pautas</w:t>
      </w:r>
      <w:r w:rsidDel="00000000" w:rsidR="00000000" w:rsidRPr="00000000">
        <w:rPr>
          <w:sz w:val="24"/>
          <w:szCs w:val="24"/>
          <w:rtl w:val="0"/>
        </w:rPr>
        <w:t xml:space="preserve"> del Diseño Universal para el Aprendizaje (DUA).</w:t>
      </w:r>
    </w:p>
    <w:p w:rsidR="00000000" w:rsidDel="00000000" w:rsidP="00000000" w:rsidRDefault="00000000" w:rsidRPr="00000000" w14:paraId="00000010">
      <w:pPr>
        <w:pageBreakBefore w:val="0"/>
        <w:numPr>
          <w:ilvl w:val="0"/>
          <w:numId w:val="5"/>
        </w:numPr>
        <w:spacing w:after="0" w:afterAutospacing="0" w:before="0" w:beforeAutospacing="0" w:lin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Por cada ítem se establece una escala de valoración de 0 a 2.</w:t>
      </w:r>
    </w:p>
    <w:p w:rsidR="00000000" w:rsidDel="00000000" w:rsidP="00000000" w:rsidRDefault="00000000" w:rsidRPr="00000000" w14:paraId="00000011">
      <w:pPr>
        <w:pageBreakBefore w:val="0"/>
        <w:numPr>
          <w:ilvl w:val="0"/>
          <w:numId w:val="5"/>
        </w:numPr>
        <w:spacing w:after="0" w:afterAutospacing="0" w:before="0" w:beforeAutospacing="0" w:lin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El valor otorgado (0-1-2) dependerá de dos parámetros, interrelacionados entre sí:</w:t>
      </w:r>
    </w:p>
    <w:p w:rsidR="00000000" w:rsidDel="00000000" w:rsidP="00000000" w:rsidRDefault="00000000" w:rsidRPr="00000000" w14:paraId="00000012">
      <w:pPr>
        <w:pageBreakBefore w:val="0"/>
        <w:numPr>
          <w:ilvl w:val="1"/>
          <w:numId w:val="5"/>
        </w:numPr>
        <w:spacing w:after="0" w:afterAutospacing="0" w:before="0" w:beforeAutospacing="0" w:line="240" w:lineRule="auto"/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Cuantitativo: cantidad de elementos que se incluyen en el recurso educativo para ese ítem.</w:t>
      </w:r>
    </w:p>
    <w:p w:rsidR="00000000" w:rsidDel="00000000" w:rsidP="00000000" w:rsidRDefault="00000000" w:rsidRPr="00000000" w14:paraId="00000013">
      <w:pPr>
        <w:pageBreakBefore w:val="0"/>
        <w:numPr>
          <w:ilvl w:val="1"/>
          <w:numId w:val="5"/>
        </w:numPr>
        <w:spacing w:after="0" w:afterAutospacing="0" w:before="0" w:beforeAutospacing="0" w:line="240" w:lineRule="auto"/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Cualitativo: calidad y funcionalidad del ítem para el propósito que se persigue.</w:t>
      </w:r>
    </w:p>
    <w:p w:rsidR="00000000" w:rsidDel="00000000" w:rsidP="00000000" w:rsidRDefault="00000000" w:rsidRPr="00000000" w14:paraId="00000014">
      <w:pPr>
        <w:pageBreakBefore w:val="0"/>
        <w:numPr>
          <w:ilvl w:val="0"/>
          <w:numId w:val="5"/>
        </w:numPr>
        <w:spacing w:after="0" w:afterAutospacing="0" w:before="0" w:beforeAutospacing="0" w:lin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El rango de puntuación se extiende de 0 a 60 puntos, entendiendo que cuanto más nos acerquemos al 60, más DUA será el recurso.</w:t>
      </w:r>
    </w:p>
    <w:p w:rsidR="00000000" w:rsidDel="00000000" w:rsidP="00000000" w:rsidRDefault="00000000" w:rsidRPr="00000000" w14:paraId="00000015">
      <w:pPr>
        <w:pageBreakBefore w:val="0"/>
        <w:numPr>
          <w:ilvl w:val="0"/>
          <w:numId w:val="5"/>
        </w:numPr>
        <w:spacing w:after="0" w:afterAutospacing="0" w:before="0" w:beforeAutospacing="0" w:line="240" w:lineRule="auto"/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Hay ítems que podrían formar parte de diferentes pautas, pero se han ubicado en aquella pauta más significativa conforme al ítem en cuestión.</w:t>
      </w:r>
    </w:p>
    <w:p w:rsidR="00000000" w:rsidDel="00000000" w:rsidP="00000000" w:rsidRDefault="00000000" w:rsidRPr="00000000" w14:paraId="00000016">
      <w:pPr>
        <w:pageBreakBefore w:val="0"/>
        <w:numPr>
          <w:ilvl w:val="0"/>
          <w:numId w:val="5"/>
        </w:numPr>
        <w:spacing w:before="0" w:beforeAutospacing="0" w:lin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En el apartado de “Observaciones”, el usuario puede realizar cualquier aclaración o comentario que permita enriquecer la valoración realizada.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ageBreakBefore w:val="0"/>
        <w:spacing w:before="200" w:line="240" w:lineRule="auto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</w:rPr>
        <w:drawing>
          <wp:inline distB="114300" distT="114300" distL="114300" distR="114300">
            <wp:extent cx="4643438" cy="1396117"/>
            <wp:effectExtent b="0" l="0" r="0" t="0"/>
            <wp:docPr id="1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643438" cy="139611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ageBreakBefore w:val="0"/>
        <w:spacing w:line="240" w:lineRule="auto"/>
        <w:rPr>
          <w:b w:val="1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ageBreakBefore w:val="0"/>
        <w:spacing w:before="20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Nombre del recurso: </w:t>
        <w:tab/>
        <w:tab/>
        <w:tab/>
        <w:tab/>
        <w:tab/>
        <w:t xml:space="preserve">Versión:</w:t>
      </w:r>
    </w:p>
    <w:p w:rsidR="00000000" w:rsidDel="00000000" w:rsidP="00000000" w:rsidRDefault="00000000" w:rsidRPr="00000000" w14:paraId="0000001A">
      <w:pPr>
        <w:pageBreakBefore w:val="0"/>
        <w:spacing w:before="20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Autoría:</w:t>
      </w:r>
    </w:p>
    <w:p w:rsidR="00000000" w:rsidDel="00000000" w:rsidP="00000000" w:rsidRDefault="00000000" w:rsidRPr="00000000" w14:paraId="0000001B">
      <w:pPr>
        <w:pageBreakBefore w:val="0"/>
        <w:spacing w:before="20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Centro Educativo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1C">
      <w:pPr>
        <w:pageBreakBefore w:val="0"/>
        <w:spacing w:before="20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Etapa / nivel:</w:t>
      </w:r>
    </w:p>
    <w:p w:rsidR="00000000" w:rsidDel="00000000" w:rsidP="00000000" w:rsidRDefault="00000000" w:rsidRPr="00000000" w14:paraId="0000001D">
      <w:pPr>
        <w:pageBreakBefore w:val="0"/>
        <w:spacing w:before="20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Revisor/a:</w:t>
        <w:tab/>
        <w:tab/>
        <w:tab/>
        <w:tab/>
        <w:tab/>
        <w:tab/>
        <w:tab/>
        <w:t xml:space="preserve">Fecha:</w:t>
      </w:r>
    </w:p>
    <w:p w:rsidR="00000000" w:rsidDel="00000000" w:rsidP="00000000" w:rsidRDefault="00000000" w:rsidRPr="00000000" w14:paraId="0000001E">
      <w:pPr>
        <w:pageBreakBefore w:val="0"/>
        <w:spacing w:line="240" w:lineRule="auto"/>
        <w:rPr>
          <w:b w:val="1"/>
          <w:color w:val="9900ff"/>
          <w:sz w:val="28"/>
          <w:szCs w:val="28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ageBreakBefore w:val="0"/>
        <w:spacing w:line="240" w:lineRule="auto"/>
        <w:rPr>
          <w:b w:val="1"/>
          <w:color w:val="9900ff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ageBreakBefore w:val="0"/>
        <w:spacing w:line="240" w:lineRule="auto"/>
        <w:rPr>
          <w:b w:val="1"/>
          <w:color w:val="9900ff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43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320"/>
        <w:gridCol w:w="6360"/>
        <w:gridCol w:w="630"/>
        <w:gridCol w:w="570"/>
        <w:gridCol w:w="555"/>
        <w:tblGridChange w:id="0">
          <w:tblGrid>
            <w:gridCol w:w="1320"/>
            <w:gridCol w:w="6360"/>
            <w:gridCol w:w="630"/>
            <w:gridCol w:w="570"/>
            <w:gridCol w:w="555"/>
          </w:tblGrid>
        </w:tblGridChange>
      </w:tblGrid>
      <w:tr>
        <w:trPr>
          <w:cantSplit w:val="0"/>
          <w:trHeight w:val="480" w:hRule="atLeast"/>
          <w:tblHeader w:val="0"/>
        </w:trPr>
        <w:tc>
          <w:tcPr>
            <w:gridSpan w:val="5"/>
            <w:shd w:fill="f3f3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i w:val="1"/>
                <w:sz w:val="28"/>
                <w:szCs w:val="28"/>
                <w:rtl w:val="0"/>
              </w:rPr>
              <w:t xml:space="preserve">Checklist </w:t>
            </w: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“CREA con DUA”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9900ff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9900ff"/>
                <w:sz w:val="28"/>
                <w:szCs w:val="28"/>
              </w:rPr>
              <w:drawing>
                <wp:inline distB="114300" distT="114300" distL="114300" distR="114300">
                  <wp:extent cx="471488" cy="427831"/>
                  <wp:effectExtent b="0" l="0" r="0" t="0"/>
                  <wp:docPr id="3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488" cy="42783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pageBreakBefore w:val="0"/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Proporcionar múltiples medios de representación de la información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2"/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Presenta la información en diferentes formatos (percepción):</w:t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75.5905511811022" w:right="0" w:hanging="360"/>
              <w:jc w:val="left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Texto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75.5905511811022" w:right="0" w:hanging="360"/>
              <w:jc w:val="left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Iconográfico (fotos, imágenes, logos, iconos, infografías).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75.5905511811022" w:right="0" w:hanging="360"/>
              <w:jc w:val="left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Audiovisual (vídeo, audio).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275.5905511811022" w:right="0" w:hanging="360"/>
              <w:jc w:val="left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Material interactivo y/o multimedia.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  0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2"/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pageBreakBefore w:val="0"/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Utiliza elementos de apoyo para decodificar la información: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pageBreakBefore w:val="0"/>
              <w:widowControl w:val="0"/>
              <w:numPr>
                <w:ilvl w:val="0"/>
                <w:numId w:val="4"/>
              </w:numPr>
              <w:spacing w:line="240" w:lineRule="auto"/>
              <w:ind w:left="144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 utiliza una sintaxis directa, sencilla y jerarquizada por orden de relevancia.</w:t>
            </w:r>
          </w:p>
          <w:p w:rsidR="00000000" w:rsidDel="00000000" w:rsidP="00000000" w:rsidRDefault="00000000" w:rsidRPr="00000000" w14:paraId="00000045">
            <w:pPr>
              <w:pageBreakBefore w:val="0"/>
              <w:widowControl w:val="0"/>
              <w:numPr>
                <w:ilvl w:val="0"/>
                <w:numId w:val="4"/>
              </w:numPr>
              <w:spacing w:line="240" w:lineRule="auto"/>
              <w:ind w:left="144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Incluye opciones para clarificar el lenguaje oral, escrito y matemático. Por ejemplo, utilizando: </w:t>
            </w:r>
            <w:r w:rsidDel="00000000" w:rsidR="00000000" w:rsidRPr="00000000">
              <w:rPr>
                <w:rtl w:val="0"/>
              </w:rPr>
              <w:t xml:space="preserve">glosario, traductor, conversor de texto a voz, imágenes, audiodescripciones, subtítulos en vídeos, calculadora, etc.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pageBreakBefore w:val="0"/>
              <w:widowControl w:val="0"/>
              <w:numPr>
                <w:ilvl w:val="0"/>
                <w:numId w:val="4"/>
              </w:numPr>
              <w:spacing w:line="240" w:lineRule="auto"/>
              <w:ind w:left="144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 etiquetan convenientemente los elementos multimedia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  <w:t xml:space="preserve">(título, descripción de imágenes o vídeo, autoría…).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</w:t>
            </w:r>
          </w:p>
          <w:p w:rsidR="00000000" w:rsidDel="00000000" w:rsidP="00000000" w:rsidRDefault="00000000" w:rsidRPr="00000000" w14:paraId="0000004B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</w:t>
            </w:r>
          </w:p>
          <w:p w:rsidR="00000000" w:rsidDel="00000000" w:rsidP="00000000" w:rsidRDefault="00000000" w:rsidRPr="00000000" w14:paraId="0000004D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</w:t>
            </w:r>
          </w:p>
          <w:p w:rsidR="00000000" w:rsidDel="00000000" w:rsidP="00000000" w:rsidRDefault="00000000" w:rsidRPr="00000000" w14:paraId="00000051">
            <w:pPr>
              <w:pageBreakBefore w:val="0"/>
              <w:widowControl w:val="0"/>
              <w:spacing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55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57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5B">
            <w:pPr>
              <w:pageBreakBefore w:val="0"/>
              <w:widowControl w:val="0"/>
              <w:spacing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05F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061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065">
            <w:pPr>
              <w:pageBreakBefore w:val="0"/>
              <w:widowControl w:val="0"/>
              <w:spacing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2"/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pageBreakBefore w:val="0"/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Proporciona opciones para la comprensión:</w:t>
            </w:r>
          </w:p>
          <w:p w:rsidR="00000000" w:rsidDel="00000000" w:rsidP="00000000" w:rsidRDefault="00000000" w:rsidRPr="00000000" w14:paraId="00000067">
            <w:pPr>
              <w:pageBreakBefore w:val="0"/>
              <w:widowControl w:val="0"/>
              <w:numPr>
                <w:ilvl w:val="0"/>
                <w:numId w:val="4"/>
              </w:numPr>
              <w:spacing w:line="240" w:lineRule="auto"/>
              <w:ind w:left="144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Guía el uso del recurso con un menú de navegación.</w:t>
            </w:r>
          </w:p>
          <w:p w:rsidR="00000000" w:rsidDel="00000000" w:rsidP="00000000" w:rsidRDefault="00000000" w:rsidRPr="00000000" w14:paraId="00000068">
            <w:pPr>
              <w:pageBreakBefore w:val="0"/>
              <w:widowControl w:val="0"/>
              <w:numPr>
                <w:ilvl w:val="0"/>
                <w:numId w:val="4"/>
              </w:numPr>
              <w:spacing w:line="240" w:lineRule="auto"/>
              <w:ind w:left="144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 diferencian las ideas principales de las secundarias </w:t>
            </w:r>
          </w:p>
          <w:p w:rsidR="00000000" w:rsidDel="00000000" w:rsidP="00000000" w:rsidRDefault="00000000" w:rsidRPr="00000000" w14:paraId="00000069">
            <w:pPr>
              <w:pageBreakBefore w:val="0"/>
              <w:widowControl w:val="0"/>
              <w:numPr>
                <w:ilvl w:val="0"/>
                <w:numId w:val="4"/>
              </w:numPr>
              <w:spacing w:line="240" w:lineRule="auto"/>
              <w:ind w:left="144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 apoya la información teórica con ejemplos, analogías, resúmenes, documentos complementarios y/o simulaciones.</w:t>
            </w:r>
          </w:p>
          <w:p w:rsidR="00000000" w:rsidDel="00000000" w:rsidP="00000000" w:rsidRDefault="00000000" w:rsidRPr="00000000" w14:paraId="0000006A">
            <w:pPr>
              <w:pageBreakBefore w:val="0"/>
              <w:widowControl w:val="0"/>
              <w:numPr>
                <w:ilvl w:val="0"/>
                <w:numId w:val="2"/>
              </w:numPr>
              <w:spacing w:line="240" w:lineRule="auto"/>
              <w:ind w:left="144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Incluye enlaces de consulta o ampliación, que deben abrirse en ventana nueva de navegación.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</w:t>
            </w:r>
          </w:p>
          <w:p w:rsidR="00000000" w:rsidDel="00000000" w:rsidP="00000000" w:rsidRDefault="00000000" w:rsidRPr="00000000" w14:paraId="0000006E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</w:t>
            </w:r>
          </w:p>
          <w:p w:rsidR="00000000" w:rsidDel="00000000" w:rsidP="00000000" w:rsidRDefault="00000000" w:rsidRPr="00000000" w14:paraId="0000006F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</w:t>
            </w:r>
          </w:p>
          <w:p w:rsidR="00000000" w:rsidDel="00000000" w:rsidP="00000000" w:rsidRDefault="00000000" w:rsidRPr="00000000" w14:paraId="00000070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75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76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77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07C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07D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07E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5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color w:val="cc0000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cc0000"/>
                <w:sz w:val="24"/>
                <w:szCs w:val="24"/>
                <w:rtl w:val="0"/>
              </w:rPr>
              <w:t xml:space="preserve">Observaciones a):</w:t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color w:val="cc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color w:val="cc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color w:val="cc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color w:val="9900ff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9900ff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9900ff"/>
                <w:sz w:val="28"/>
                <w:szCs w:val="28"/>
              </w:rPr>
              <w:drawing>
                <wp:inline distB="114300" distT="114300" distL="114300" distR="114300">
                  <wp:extent cx="476250" cy="406977"/>
                  <wp:effectExtent b="0" l="0" r="0" t="0"/>
                  <wp:docPr id="5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40697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a4c2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pageBreakBefore w:val="0"/>
              <w:widowControl w:val="0"/>
              <w:numPr>
                <w:ilvl w:val="0"/>
                <w:numId w:val="1"/>
              </w:numPr>
              <w:spacing w:line="240" w:lineRule="auto"/>
              <w:ind w:left="425.19685039370086" w:hanging="360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Proporcionar múltiples formas de acción y expresión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2"/>
            <w:shd w:fill="c7da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pageBreakBefore w:val="0"/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Permite múltiples medios para interaccionar con el material:</w:t>
            </w:r>
          </w:p>
          <w:p w:rsidR="00000000" w:rsidDel="00000000" w:rsidP="00000000" w:rsidRDefault="00000000" w:rsidRPr="00000000" w14:paraId="00000090">
            <w:pPr>
              <w:pageBreakBefore w:val="0"/>
              <w:widowControl w:val="0"/>
              <w:numPr>
                <w:ilvl w:val="0"/>
                <w:numId w:val="4"/>
              </w:numPr>
              <w:spacing w:line="240" w:lineRule="auto"/>
              <w:ind w:left="144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Es multiplataforma y multidispositivo.</w:t>
            </w:r>
          </w:p>
          <w:p w:rsidR="00000000" w:rsidDel="00000000" w:rsidP="00000000" w:rsidRDefault="00000000" w:rsidRPr="00000000" w14:paraId="00000091">
            <w:pPr>
              <w:pageBreakBefore w:val="0"/>
              <w:widowControl w:val="0"/>
              <w:numPr>
                <w:ilvl w:val="0"/>
                <w:numId w:val="4"/>
              </w:numPr>
              <w:spacing w:line="240" w:lineRule="auto"/>
              <w:ind w:left="144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Los materiales, todos o en parte, se pueden consultar en formato digital y analógico.</w:t>
            </w:r>
          </w:p>
          <w:p w:rsidR="00000000" w:rsidDel="00000000" w:rsidP="00000000" w:rsidRDefault="00000000" w:rsidRPr="00000000" w14:paraId="00000092">
            <w:pPr>
              <w:pageBreakBefore w:val="0"/>
              <w:widowControl w:val="0"/>
              <w:numPr>
                <w:ilvl w:val="0"/>
                <w:numId w:val="4"/>
              </w:numPr>
              <w:spacing w:line="240" w:lineRule="auto"/>
              <w:ind w:left="144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Posibilita el uso de ayudas técnicas si fuesen necesarias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7da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</w:t>
            </w:r>
          </w:p>
          <w:p w:rsidR="00000000" w:rsidDel="00000000" w:rsidP="00000000" w:rsidRDefault="00000000" w:rsidRPr="00000000" w14:paraId="00000097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</w:t>
            </w:r>
          </w:p>
          <w:p w:rsidR="00000000" w:rsidDel="00000000" w:rsidP="00000000" w:rsidRDefault="00000000" w:rsidRPr="00000000" w14:paraId="00000098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</w:t>
            </w:r>
          </w:p>
        </w:tc>
        <w:tc>
          <w:tcPr>
            <w:shd w:fill="c7da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A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9D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9E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A0">
            <w:pPr>
              <w:pageBreakBefore w:val="0"/>
              <w:widowControl w:val="0"/>
              <w:spacing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7da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1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0A4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0A5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2"/>
            <w:shd w:fill="c7da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7">
            <w:pPr>
              <w:pageBreakBefore w:val="0"/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Se varía el modelo de respuesta en las actividades (expresión y comunicación):</w:t>
            </w:r>
          </w:p>
          <w:p w:rsidR="00000000" w:rsidDel="00000000" w:rsidP="00000000" w:rsidRDefault="00000000" w:rsidRPr="00000000" w14:paraId="000000A8">
            <w:pPr>
              <w:pageBreakBefore w:val="0"/>
              <w:widowControl w:val="0"/>
              <w:numPr>
                <w:ilvl w:val="0"/>
                <w:numId w:val="4"/>
              </w:numPr>
              <w:spacing w:line="240" w:lineRule="auto"/>
              <w:ind w:left="144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Existen diferentes posibilidades para que el alumnado comunique lo que sabe: textual, gráfica, audiovisual, interactiva, cinestésica, musical…</w:t>
            </w:r>
          </w:p>
          <w:p w:rsidR="00000000" w:rsidDel="00000000" w:rsidP="00000000" w:rsidRDefault="00000000" w:rsidRPr="00000000" w14:paraId="000000A9">
            <w:pPr>
              <w:pageBreakBefore w:val="0"/>
              <w:widowControl w:val="0"/>
              <w:numPr>
                <w:ilvl w:val="0"/>
                <w:numId w:val="4"/>
              </w:numPr>
              <w:spacing w:line="240" w:lineRule="auto"/>
              <w:ind w:left="144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 piden variados productos finales, tanto en formato digital como analógico.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pageBreakBefore w:val="0"/>
              <w:widowControl w:val="0"/>
              <w:numPr>
                <w:ilvl w:val="0"/>
                <w:numId w:val="4"/>
              </w:numPr>
              <w:spacing w:line="240" w:lineRule="auto"/>
              <w:ind w:left="144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Hay actividades de realización individual y colectivas.</w:t>
            </w:r>
          </w:p>
          <w:p w:rsidR="00000000" w:rsidDel="00000000" w:rsidP="00000000" w:rsidRDefault="00000000" w:rsidRPr="00000000" w14:paraId="000000AB">
            <w:pPr>
              <w:pageBreakBefore w:val="0"/>
              <w:widowControl w:val="0"/>
              <w:numPr>
                <w:ilvl w:val="0"/>
                <w:numId w:val="4"/>
              </w:numPr>
              <w:spacing w:line="240" w:lineRule="auto"/>
              <w:ind w:left="144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Permite al alumnado la elección, entre varias opciones, en determinadas actividades, materiales y/o herramientas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.</w:t>
            </w:r>
          </w:p>
        </w:tc>
        <w:tc>
          <w:tcPr>
            <w:shd w:fill="c7da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D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E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</w:t>
            </w:r>
          </w:p>
          <w:p w:rsidR="00000000" w:rsidDel="00000000" w:rsidP="00000000" w:rsidRDefault="00000000" w:rsidRPr="00000000" w14:paraId="000000B0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</w:t>
            </w:r>
          </w:p>
          <w:p w:rsidR="00000000" w:rsidDel="00000000" w:rsidP="00000000" w:rsidRDefault="00000000" w:rsidRPr="00000000" w14:paraId="000000B3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</w:t>
            </w:r>
          </w:p>
          <w:p w:rsidR="00000000" w:rsidDel="00000000" w:rsidP="00000000" w:rsidRDefault="00000000" w:rsidRPr="00000000" w14:paraId="000000B5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</w:t>
            </w:r>
          </w:p>
        </w:tc>
        <w:tc>
          <w:tcPr>
            <w:shd w:fill="c7da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6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7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8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B9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BC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BE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shd w:fill="c7da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F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0C2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4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0C5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0C7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2"/>
            <w:shd w:fill="c7da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8">
            <w:pPr>
              <w:pageBreakBefore w:val="0"/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Facilita el desarrollo de las funciones ejecutivas:</w:t>
            </w:r>
          </w:p>
          <w:p w:rsidR="00000000" w:rsidDel="00000000" w:rsidP="00000000" w:rsidRDefault="00000000" w:rsidRPr="00000000" w14:paraId="000000C9">
            <w:pPr>
              <w:pageBreakBefore w:val="0"/>
              <w:widowControl w:val="0"/>
              <w:numPr>
                <w:ilvl w:val="0"/>
                <w:numId w:val="4"/>
              </w:numPr>
              <w:spacing w:line="240" w:lineRule="auto"/>
              <w:ind w:left="144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Los alumnos saben lo que se espera de ellos; es decir, conocen los objetivos de aprendizaje y las normas de funcionamiento, desde el principio.</w:t>
            </w:r>
          </w:p>
          <w:p w:rsidR="00000000" w:rsidDel="00000000" w:rsidP="00000000" w:rsidRDefault="00000000" w:rsidRPr="00000000" w14:paraId="000000CA">
            <w:pPr>
              <w:pageBreakBefore w:val="0"/>
              <w:widowControl w:val="0"/>
              <w:numPr>
                <w:ilvl w:val="0"/>
                <w:numId w:val="4"/>
              </w:numPr>
              <w:spacing w:line="240" w:lineRule="auto"/>
              <w:ind w:left="144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Ofrece ejemplos, plantillas, tutoriales, consejos, autocorrectores y/o modelos de apoyo.</w:t>
            </w:r>
          </w:p>
          <w:p w:rsidR="00000000" w:rsidDel="00000000" w:rsidP="00000000" w:rsidRDefault="00000000" w:rsidRPr="00000000" w14:paraId="000000CB">
            <w:pPr>
              <w:pageBreakBefore w:val="0"/>
              <w:widowControl w:val="0"/>
              <w:numPr>
                <w:ilvl w:val="0"/>
                <w:numId w:val="4"/>
              </w:numPr>
              <w:spacing w:line="240" w:lineRule="auto"/>
              <w:ind w:left="144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 facilitan herramientas de autocontrol: lista de cotejo, cronómetro, preguntas clave, autoinstrucciones, etc.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7da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D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</w:t>
            </w:r>
          </w:p>
          <w:p w:rsidR="00000000" w:rsidDel="00000000" w:rsidP="00000000" w:rsidRDefault="00000000" w:rsidRPr="00000000" w14:paraId="000000CF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</w:t>
            </w:r>
          </w:p>
          <w:p w:rsidR="00000000" w:rsidDel="00000000" w:rsidP="00000000" w:rsidRDefault="00000000" w:rsidRPr="00000000" w14:paraId="000000D2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3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</w:t>
            </w:r>
          </w:p>
          <w:p w:rsidR="00000000" w:rsidDel="00000000" w:rsidP="00000000" w:rsidRDefault="00000000" w:rsidRPr="00000000" w14:paraId="000000D4">
            <w:pPr>
              <w:pageBreakBefore w:val="0"/>
              <w:widowControl w:val="0"/>
              <w:spacing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7da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5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D7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DA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B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0DC">
            <w:pPr>
              <w:pageBreakBefore w:val="0"/>
              <w:widowControl w:val="0"/>
              <w:spacing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7daf4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D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E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0DF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1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0E2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3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0E4">
            <w:pPr>
              <w:pageBreakBefore w:val="0"/>
              <w:widowControl w:val="0"/>
              <w:spacing w:line="240" w:lineRule="auto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5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5">
            <w:pPr>
              <w:pageBreakBefore w:val="0"/>
              <w:widowControl w:val="0"/>
              <w:spacing w:line="240" w:lineRule="auto"/>
              <w:rPr>
                <w:b w:val="1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0000ff"/>
                <w:sz w:val="24"/>
                <w:szCs w:val="24"/>
                <w:rtl w:val="0"/>
              </w:rPr>
              <w:t xml:space="preserve">Observaciones b):</w:t>
            </w:r>
          </w:p>
          <w:p w:rsidR="00000000" w:rsidDel="00000000" w:rsidP="00000000" w:rsidRDefault="00000000" w:rsidRPr="00000000" w14:paraId="000000E6">
            <w:pPr>
              <w:pageBreakBefore w:val="0"/>
              <w:widowControl w:val="0"/>
              <w:spacing w:line="240" w:lineRule="auto"/>
              <w:rPr>
                <w:b w:val="1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pageBreakBefore w:val="0"/>
              <w:widowControl w:val="0"/>
              <w:spacing w:line="240" w:lineRule="auto"/>
              <w:rPr>
                <w:b w:val="1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pageBreakBefore w:val="0"/>
              <w:widowControl w:val="0"/>
              <w:spacing w:line="240" w:lineRule="auto"/>
              <w:rPr>
                <w:b w:val="1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pageBreakBefore w:val="0"/>
              <w:widowControl w:val="0"/>
              <w:spacing w:line="240" w:lineRule="auto"/>
              <w:rPr>
                <w:b w:val="1"/>
                <w:color w:val="0000ff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9900ff"/>
                <w:sz w:val="28"/>
                <w:szCs w:val="28"/>
              </w:rPr>
            </w:pPr>
            <w:r w:rsidDel="00000000" w:rsidR="00000000" w:rsidRPr="00000000">
              <w:rPr>
                <w:b w:val="1"/>
                <w:color w:val="9900ff"/>
                <w:sz w:val="28"/>
                <w:szCs w:val="28"/>
              </w:rPr>
              <w:drawing>
                <wp:inline distB="114300" distT="114300" distL="114300" distR="114300">
                  <wp:extent cx="450897" cy="414338"/>
                  <wp:effectExtent b="0" l="0" r="0" t="0"/>
                  <wp:docPr id="4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0897" cy="41433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F">
            <w:pPr>
              <w:pageBreakBefore w:val="0"/>
              <w:widowControl w:val="0"/>
              <w:numPr>
                <w:ilvl w:val="0"/>
                <w:numId w:val="1"/>
              </w:numPr>
              <w:spacing w:line="240" w:lineRule="auto"/>
              <w:ind w:left="425.19685039370086" w:hanging="360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Proporcionar múltiples formas de motivación e implicación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2"/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3">
            <w:pPr>
              <w:pageBreakBefore w:val="0"/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Proporciona opciones para captar el interés:</w:t>
            </w:r>
          </w:p>
          <w:p w:rsidR="00000000" w:rsidDel="00000000" w:rsidP="00000000" w:rsidRDefault="00000000" w:rsidRPr="00000000" w14:paraId="000000F4">
            <w:pPr>
              <w:pageBreakBefore w:val="0"/>
              <w:widowControl w:val="0"/>
              <w:numPr>
                <w:ilvl w:val="0"/>
                <w:numId w:val="4"/>
              </w:numPr>
              <w:spacing w:line="240" w:lineRule="auto"/>
              <w:ind w:left="144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Incluye títulos sugerentes y/o diferentes formas para suscitar la curiosidad: retos, desafíos, efectos sorpresa,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personajes de ayuda,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enigmas, incógnitas, trucos, candados que abrir, pruebas que superar, curiosidades,…</w:t>
            </w:r>
          </w:p>
          <w:p w:rsidR="00000000" w:rsidDel="00000000" w:rsidP="00000000" w:rsidRDefault="00000000" w:rsidRPr="00000000" w14:paraId="000000F5">
            <w:pPr>
              <w:pageBreakBefore w:val="0"/>
              <w:widowControl w:val="0"/>
              <w:numPr>
                <w:ilvl w:val="0"/>
                <w:numId w:val="4"/>
              </w:numPr>
              <w:spacing w:line="240" w:lineRule="auto"/>
              <w:ind w:left="144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La redacción utiliza un lenguaje cercano al argot de los destinatarios. Ejemplo: redacción en primera persona del plural, vocabulario comprensible, etc.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</w:t>
            </w:r>
          </w:p>
          <w:p w:rsidR="00000000" w:rsidDel="00000000" w:rsidP="00000000" w:rsidRDefault="00000000" w:rsidRPr="00000000" w14:paraId="000000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</w:t>
            </w:r>
          </w:p>
          <w:p w:rsidR="00000000" w:rsidDel="00000000" w:rsidP="00000000" w:rsidRDefault="00000000" w:rsidRPr="00000000" w14:paraId="000000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1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1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2"/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0">
            <w:pPr>
              <w:pageBreakBefore w:val="0"/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Proporciona opciones para mantener el esfuerzo y la persistencia:</w:t>
            </w:r>
          </w:p>
          <w:p w:rsidR="00000000" w:rsidDel="00000000" w:rsidP="00000000" w:rsidRDefault="00000000" w:rsidRPr="00000000" w14:paraId="00000111">
            <w:pPr>
              <w:pageBreakBefore w:val="0"/>
              <w:widowControl w:val="0"/>
              <w:numPr>
                <w:ilvl w:val="0"/>
                <w:numId w:val="4"/>
              </w:numPr>
              <w:spacing w:line="240" w:lineRule="auto"/>
              <w:ind w:left="144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Prima el papel activo del alumno, mediante el uso de metodologías activas y aprendizaje cooperativo.</w:t>
            </w:r>
          </w:p>
          <w:p w:rsidR="00000000" w:rsidDel="00000000" w:rsidP="00000000" w:rsidRDefault="00000000" w:rsidRPr="00000000" w14:paraId="00000112">
            <w:pPr>
              <w:pageBreakBefore w:val="0"/>
              <w:widowControl w:val="0"/>
              <w:numPr>
                <w:ilvl w:val="0"/>
                <w:numId w:val="4"/>
              </w:numPr>
              <w:spacing w:line="240" w:lineRule="auto"/>
              <w:ind w:left="144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Se divide la meta en diferentes fases o submetas, de menor a mayor complejidad (andamiaje).</w:t>
            </w:r>
          </w:p>
          <w:p w:rsidR="00000000" w:rsidDel="00000000" w:rsidP="00000000" w:rsidRDefault="00000000" w:rsidRPr="00000000" w14:paraId="00000113">
            <w:pPr>
              <w:pageBreakBefore w:val="0"/>
              <w:widowControl w:val="0"/>
              <w:numPr>
                <w:ilvl w:val="0"/>
                <w:numId w:val="4"/>
              </w:numPr>
              <w:spacing w:line="240" w:lineRule="auto"/>
              <w:ind w:left="144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Incluye elementos de recompensa e incentivo.</w:t>
            </w:r>
          </w:p>
          <w:p w:rsidR="00000000" w:rsidDel="00000000" w:rsidP="00000000" w:rsidRDefault="00000000" w:rsidRPr="00000000" w14:paraId="00000114">
            <w:pPr>
              <w:pageBreakBefore w:val="0"/>
              <w:widowControl w:val="0"/>
              <w:numPr>
                <w:ilvl w:val="0"/>
                <w:numId w:val="4"/>
              </w:numPr>
              <w:spacing w:line="240" w:lineRule="auto"/>
              <w:ind w:left="144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Dispone de un </w:t>
            </w:r>
            <w:r w:rsidDel="00000000" w:rsidR="00000000" w:rsidRPr="00000000">
              <w:rPr>
                <w:i w:val="1"/>
                <w:sz w:val="24"/>
                <w:szCs w:val="24"/>
                <w:rtl w:val="0"/>
              </w:rPr>
              <w:t xml:space="preserve">feedback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automático y correctivo en algunas actividades, orientado hacia la superación.</w:t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6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</w:t>
            </w:r>
          </w:p>
          <w:p w:rsidR="00000000" w:rsidDel="00000000" w:rsidP="00000000" w:rsidRDefault="00000000" w:rsidRPr="00000000" w14:paraId="00000119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</w:t>
            </w:r>
          </w:p>
          <w:p w:rsidR="00000000" w:rsidDel="00000000" w:rsidP="00000000" w:rsidRDefault="00000000" w:rsidRPr="00000000" w14:paraId="0000011B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</w:t>
            </w:r>
          </w:p>
          <w:p w:rsidR="00000000" w:rsidDel="00000000" w:rsidP="00000000" w:rsidRDefault="00000000" w:rsidRPr="00000000" w14:paraId="0000011D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</w:t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F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1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22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24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26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7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8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9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12B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C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12D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12F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2"/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1">
            <w:pPr>
              <w:pageBreakBefore w:val="0"/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Proporciona opciones para la auto-regulación: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2">
            <w:pPr>
              <w:pageBreakBefore w:val="0"/>
              <w:widowControl w:val="0"/>
              <w:numPr>
                <w:ilvl w:val="0"/>
                <w:numId w:val="4"/>
              </w:numPr>
              <w:spacing w:line="240" w:lineRule="auto"/>
              <w:ind w:left="1440" w:hanging="360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Existen diferentes instrumentos de evaluación. Por ejemplo:</w:t>
            </w:r>
            <w:r w:rsidDel="00000000" w:rsidR="00000000" w:rsidRPr="00000000">
              <w:rPr>
                <w:rtl w:val="0"/>
              </w:rPr>
              <w:t xml:space="preserve"> lista de control, diana de aprendizaje, cuestionario o test, escalas de estimación, rúbricas de evaluación con diferentes niveles de logro...</w:t>
            </w:r>
          </w:p>
          <w:p w:rsidR="00000000" w:rsidDel="00000000" w:rsidP="00000000" w:rsidRDefault="00000000" w:rsidRPr="00000000" w14:paraId="00000133">
            <w:pPr>
              <w:pageBreakBefore w:val="0"/>
              <w:widowControl w:val="0"/>
              <w:numPr>
                <w:ilvl w:val="0"/>
                <w:numId w:val="4"/>
              </w:numPr>
              <w:spacing w:line="240" w:lineRule="auto"/>
              <w:ind w:left="144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Permite la autoevaluación y coevaluación.</w:t>
            </w:r>
          </w:p>
          <w:p w:rsidR="00000000" w:rsidDel="00000000" w:rsidP="00000000" w:rsidRDefault="00000000" w:rsidRPr="00000000" w14:paraId="00000134">
            <w:pPr>
              <w:pageBreakBefore w:val="0"/>
              <w:widowControl w:val="0"/>
              <w:numPr>
                <w:ilvl w:val="0"/>
                <w:numId w:val="4"/>
              </w:numPr>
              <w:spacing w:line="240" w:lineRule="auto"/>
              <w:ind w:left="1440" w:hanging="360"/>
              <w:rPr>
                <w:sz w:val="24"/>
                <w:szCs w:val="24"/>
                <w:u w:val="none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Incluye acciones para potenciar la reflexión sobre el aprendizaje (diario o portafolio de aprendizaje).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6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7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</w:t>
            </w:r>
          </w:p>
          <w:p w:rsidR="00000000" w:rsidDel="00000000" w:rsidP="00000000" w:rsidRDefault="00000000" w:rsidRPr="00000000" w14:paraId="00000138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9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B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</w:t>
            </w:r>
          </w:p>
          <w:p w:rsidR="00000000" w:rsidDel="00000000" w:rsidP="00000000" w:rsidRDefault="00000000" w:rsidRPr="00000000" w14:paraId="0000013C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D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0</w:t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E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F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40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1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2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3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144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5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6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148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9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A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B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</w:t>
            </w:r>
          </w:p>
          <w:p w:rsidR="00000000" w:rsidDel="00000000" w:rsidP="00000000" w:rsidRDefault="00000000" w:rsidRPr="00000000" w14:paraId="0000014C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D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2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5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E">
            <w:pPr>
              <w:pageBreakBefore w:val="0"/>
              <w:widowControl w:val="0"/>
              <w:spacing w:line="240" w:lineRule="auto"/>
              <w:rPr>
                <w:b w:val="1"/>
                <w:color w:val="38761d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38761d"/>
                <w:sz w:val="24"/>
                <w:szCs w:val="24"/>
                <w:rtl w:val="0"/>
              </w:rPr>
              <w:t xml:space="preserve">Observaciones c):</w:t>
            </w:r>
          </w:p>
          <w:p w:rsidR="00000000" w:rsidDel="00000000" w:rsidP="00000000" w:rsidRDefault="00000000" w:rsidRPr="00000000" w14:paraId="0000014F">
            <w:pPr>
              <w:pageBreakBefore w:val="0"/>
              <w:widowControl w:val="0"/>
              <w:spacing w:line="240" w:lineRule="auto"/>
              <w:rPr>
                <w:b w:val="1"/>
                <w:color w:val="38761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0">
            <w:pPr>
              <w:pageBreakBefore w:val="0"/>
              <w:widowControl w:val="0"/>
              <w:spacing w:line="240" w:lineRule="auto"/>
              <w:rPr>
                <w:b w:val="1"/>
                <w:color w:val="38761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1">
            <w:pPr>
              <w:pageBreakBefore w:val="0"/>
              <w:widowControl w:val="0"/>
              <w:spacing w:line="240" w:lineRule="auto"/>
              <w:rPr>
                <w:b w:val="1"/>
                <w:color w:val="38761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2">
            <w:pPr>
              <w:pageBreakBefore w:val="0"/>
              <w:widowControl w:val="0"/>
              <w:spacing w:line="240" w:lineRule="auto"/>
              <w:rPr>
                <w:b w:val="1"/>
                <w:color w:val="38761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3">
            <w:pPr>
              <w:pageBreakBefore w:val="0"/>
              <w:widowControl w:val="0"/>
              <w:spacing w:line="240" w:lineRule="auto"/>
              <w:rPr>
                <w:b w:val="1"/>
                <w:color w:val="38761d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58">
      <w:pPr>
        <w:pageBreakBefore w:val="0"/>
        <w:spacing w:line="240" w:lineRule="auto"/>
        <w:rPr>
          <w:b w:val="1"/>
          <w:color w:val="9900ff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9">
      <w:pPr>
        <w:pageBreakBefore w:val="0"/>
        <w:spacing w:before="200" w:line="240" w:lineRule="auto"/>
        <w:ind w:left="0" w:firstLine="0"/>
        <w:rPr/>
      </w:pPr>
      <w:r w:rsidDel="00000000" w:rsidR="00000000" w:rsidRPr="00000000">
        <w:rPr>
          <w:rtl w:val="0"/>
        </w:rPr>
      </w:r>
    </w:p>
    <w:sectPr>
      <w:headerReference r:id="rId12" w:type="default"/>
      <w:footerReference r:id="rId13" w:type="default"/>
      <w:pgSz w:h="16834" w:w="11909" w:orient="portrait"/>
      <w:pgMar w:bottom="1440" w:top="1133.8582677165355" w:left="1440" w:right="1440" w:header="435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5A">
    <w:pPr>
      <w:pageBreakBefore w:val="0"/>
      <w:spacing w:line="360" w:lineRule="auto"/>
      <w:jc w:val="center"/>
      <w:rPr>
        <w:color w:val="6aa84f"/>
        <w:sz w:val="20"/>
        <w:szCs w:val="20"/>
      </w:rPr>
    </w:pPr>
    <w:r w:rsidDel="00000000" w:rsidR="00000000" w:rsidRPr="00000000">
      <w:rPr>
        <w:color w:val="6aa84f"/>
        <w:sz w:val="20"/>
        <w:szCs w:val="20"/>
      </w:rPr>
      <w:drawing>
        <wp:inline distB="114300" distT="114300" distL="114300" distR="114300">
          <wp:extent cx="714375" cy="247650"/>
          <wp:effectExtent b="0" l="0" r="0" t="0"/>
          <wp:docPr id="7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14375" cy="2476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5B">
    <w:pPr>
      <w:pageBreakBefore w:val="0"/>
      <w:spacing w:line="240" w:lineRule="auto"/>
      <w:jc w:val="center"/>
      <w:rPr>
        <w:color w:val="464646"/>
        <w:sz w:val="20"/>
        <w:szCs w:val="20"/>
      </w:rPr>
    </w:pPr>
    <w:r w:rsidDel="00000000" w:rsidR="00000000" w:rsidRPr="00000000">
      <w:rPr>
        <w:i w:val="1"/>
        <w:color w:val="464646"/>
        <w:sz w:val="20"/>
        <w:szCs w:val="20"/>
        <w:rtl w:val="0"/>
      </w:rPr>
      <w:t xml:space="preserve">CREA con DUA: checklist reducida</w:t>
    </w:r>
    <w:r w:rsidDel="00000000" w:rsidR="00000000" w:rsidRPr="00000000">
      <w:rPr>
        <w:color w:val="464646"/>
        <w:sz w:val="20"/>
        <w:szCs w:val="20"/>
        <w:rtl w:val="0"/>
      </w:rPr>
      <w:t xml:space="preserve">.</w:t>
    </w:r>
    <w:hyperlink r:id="rId2">
      <w:r w:rsidDel="00000000" w:rsidR="00000000" w:rsidRPr="00000000">
        <w:rPr>
          <w:color w:val="464646"/>
          <w:sz w:val="20"/>
          <w:szCs w:val="20"/>
          <w:rtl w:val="0"/>
        </w:rPr>
        <w:t xml:space="preserve"> </w:t>
      </w:r>
    </w:hyperlink>
    <w:hyperlink r:id="rId3">
      <w:r w:rsidDel="00000000" w:rsidR="00000000" w:rsidRPr="00000000">
        <w:rPr>
          <w:color w:val="1155cc"/>
          <w:sz w:val="20"/>
          <w:szCs w:val="20"/>
          <w:u w:val="single"/>
          <w:rtl w:val="0"/>
        </w:rPr>
        <w:t xml:space="preserve">Proyecto CREA</w:t>
      </w:r>
    </w:hyperlink>
    <w:r w:rsidDel="00000000" w:rsidR="00000000" w:rsidRPr="00000000">
      <w:rPr>
        <w:color w:val="464646"/>
        <w:sz w:val="20"/>
        <w:szCs w:val="20"/>
        <w:rtl w:val="0"/>
      </w:rPr>
      <w:t xml:space="preserve"> se encuentra bajo una licencia</w:t>
    </w:r>
  </w:p>
  <w:p w:rsidR="00000000" w:rsidDel="00000000" w:rsidP="00000000" w:rsidRDefault="00000000" w:rsidRPr="00000000" w14:paraId="0000015C">
    <w:pPr>
      <w:pageBreakBefore w:val="0"/>
      <w:spacing w:line="360" w:lineRule="auto"/>
      <w:jc w:val="center"/>
      <w:rPr/>
    </w:pPr>
    <w:r w:rsidDel="00000000" w:rsidR="00000000" w:rsidRPr="00000000">
      <w:rPr>
        <w:color w:val="333333"/>
        <w:sz w:val="20"/>
        <w:szCs w:val="20"/>
        <w:rtl w:val="0"/>
      </w:rPr>
      <w:t xml:space="preserve"> </w:t>
    </w:r>
    <w:hyperlink r:id="rId4">
      <w:r w:rsidDel="00000000" w:rsidR="00000000" w:rsidRPr="00000000">
        <w:rPr>
          <w:color w:val="2495ff"/>
          <w:sz w:val="20"/>
          <w:szCs w:val="20"/>
          <w:u w:val="single"/>
          <w:rtl w:val="0"/>
        </w:rPr>
        <w:t xml:space="preserve">Creative Commons Reconocimiento-Compartir igual 4.0</w:t>
      </w:r>
    </w:hyperlink>
    <w:r w:rsidDel="00000000" w:rsidR="00000000" w:rsidRPr="00000000">
      <w:rPr>
        <w:color w:val="2495ff"/>
        <w:sz w:val="20"/>
        <w:szCs w:val="20"/>
        <w:rtl w:val="0"/>
      </w:rPr>
      <w:t xml:space="preserve"> International License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5D">
    <w:pPr>
      <w:pageBreakBefore w:val="0"/>
      <w:ind w:left="-850.3937007874016" w:right="-749.5275590551165" w:firstLine="0"/>
      <w:rPr/>
    </w:pPr>
    <w:r w:rsidDel="00000000" w:rsidR="00000000" w:rsidRPr="00000000">
      <w:rPr/>
      <w:drawing>
        <wp:inline distB="114300" distT="114300" distL="114300" distR="114300">
          <wp:extent cx="1376363" cy="322371"/>
          <wp:effectExtent b="0" l="0" r="0" t="0"/>
          <wp:docPr id="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376363" cy="32237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  <w:tab/>
      <w:tab/>
      <w:tab/>
      <w:tab/>
      <w:tab/>
      <w:tab/>
      <w:tab/>
      <w:t xml:space="preserve">                       </w:t>
      <w:tab/>
    </w:r>
    <w:r w:rsidDel="00000000" w:rsidR="00000000" w:rsidRPr="00000000">
      <w:rPr/>
      <w:drawing>
        <wp:inline distB="114300" distT="114300" distL="114300" distR="114300">
          <wp:extent cx="1366838" cy="330542"/>
          <wp:effectExtent b="0" l="0" r="0" t="0"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366838" cy="330542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3" Type="http://schemas.openxmlformats.org/officeDocument/2006/relationships/footer" Target="footer1.xml"/><Relationship Id="rId12" Type="http://schemas.openxmlformats.org/officeDocument/2006/relationships/header" Target="head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hyperlink" Target="https://docs.google.com/document/d/1uoK3gRv_XdKClleHueF9_dOQDQyz91kOY4FcXn3oJyo/edit?usp=sharing" TargetMode="External"/><Relationship Id="rId7" Type="http://schemas.openxmlformats.org/officeDocument/2006/relationships/hyperlink" Target="https://emtic.educarex.es/224-nuevo-emt/atencion-a-la-diversidad/3020-diseno-universal-para-el-aprendizaje-porque-todos-somos-todos" TargetMode="External"/><Relationship Id="rId8" Type="http://schemas.openxmlformats.org/officeDocument/2006/relationships/image" Target="media/image7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hyperlink" Target="https://crea.educarex.es/" TargetMode="External"/><Relationship Id="rId3" Type="http://schemas.openxmlformats.org/officeDocument/2006/relationships/hyperlink" Target="https://crea.educarex.es/" TargetMode="External"/><Relationship Id="rId4" Type="http://schemas.openxmlformats.org/officeDocument/2006/relationships/hyperlink" Target="http://creativecommons.org/licenses/by-sa/4.0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